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89E" w:rsidRPr="00E226C9" w:rsidRDefault="004A289E" w:rsidP="00E226C9">
      <w:pPr>
        <w:spacing w:line="480" w:lineRule="auto"/>
        <w:rPr>
          <w:rFonts w:ascii="Times New Roman" w:hAnsi="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600"/>
        <w:gridCol w:w="3860"/>
      </w:tblGrid>
      <w:tr w:rsidR="004A289E" w:rsidRPr="00E226C9" w:rsidTr="004A289E">
        <w:trPr>
          <w:trHeight w:val="288"/>
        </w:trPr>
        <w:tc>
          <w:tcPr>
            <w:tcW w:w="3330" w:type="dxa"/>
            <w:vMerge w:val="restart"/>
          </w:tcPr>
          <w:p w:rsidR="004A289E" w:rsidRPr="00E226C9" w:rsidRDefault="007C17D6" w:rsidP="00E226C9">
            <w:pPr>
              <w:pStyle w:val="NoSpacing"/>
              <w:spacing w:line="480" w:lineRule="auto"/>
              <w:rPr>
                <w:rFonts w:ascii="Times New Roman" w:hAnsi="Times New Roman"/>
                <w:b/>
                <w:sz w:val="24"/>
              </w:rPr>
            </w:pPr>
            <w:r w:rsidRPr="00E226C9">
              <w:rPr>
                <w:rFonts w:ascii="Times New Roman" w:hAnsi="Times New Roman"/>
                <w:b/>
                <w:sz w:val="24"/>
              </w:rPr>
              <w:t>J401 Administrative Policy</w:t>
            </w:r>
          </w:p>
        </w:tc>
        <w:tc>
          <w:tcPr>
            <w:tcW w:w="3600" w:type="dxa"/>
            <w:vAlign w:val="center"/>
          </w:tcPr>
          <w:p w:rsidR="004A289E" w:rsidRPr="00E226C9" w:rsidRDefault="004A289E" w:rsidP="00E226C9">
            <w:pPr>
              <w:pStyle w:val="NoSpacing"/>
              <w:spacing w:line="480" w:lineRule="auto"/>
              <w:jc w:val="right"/>
              <w:rPr>
                <w:rFonts w:ascii="Times New Roman" w:hAnsi="Times New Roman"/>
                <w:sz w:val="24"/>
              </w:rPr>
            </w:pPr>
            <w:r w:rsidRPr="00E226C9">
              <w:rPr>
                <w:rFonts w:ascii="Times New Roman" w:hAnsi="Times New Roman"/>
                <w:sz w:val="24"/>
              </w:rPr>
              <w:t>Name:</w:t>
            </w:r>
          </w:p>
        </w:tc>
        <w:tc>
          <w:tcPr>
            <w:tcW w:w="3860" w:type="dxa"/>
            <w:tcBorders>
              <w:bottom w:val="single" w:sz="4" w:space="0" w:color="auto"/>
            </w:tcBorders>
          </w:tcPr>
          <w:p w:rsidR="004A289E" w:rsidRPr="00E226C9" w:rsidRDefault="004A289E" w:rsidP="00E226C9">
            <w:pPr>
              <w:pStyle w:val="NoSpacing"/>
              <w:spacing w:line="480" w:lineRule="auto"/>
              <w:rPr>
                <w:rFonts w:ascii="Times New Roman" w:hAnsi="Times New Roman"/>
                <w:sz w:val="24"/>
              </w:rPr>
            </w:pPr>
          </w:p>
        </w:tc>
      </w:tr>
      <w:tr w:rsidR="004A289E" w:rsidRPr="00E226C9" w:rsidTr="004A289E">
        <w:tc>
          <w:tcPr>
            <w:tcW w:w="3330" w:type="dxa"/>
            <w:vMerge/>
          </w:tcPr>
          <w:p w:rsidR="004A289E" w:rsidRPr="00E226C9" w:rsidRDefault="004A289E" w:rsidP="00E226C9">
            <w:pPr>
              <w:pStyle w:val="NoSpacing"/>
              <w:spacing w:line="480" w:lineRule="auto"/>
              <w:rPr>
                <w:rFonts w:ascii="Times New Roman" w:hAnsi="Times New Roman"/>
                <w:sz w:val="24"/>
              </w:rPr>
            </w:pPr>
          </w:p>
        </w:tc>
        <w:tc>
          <w:tcPr>
            <w:tcW w:w="3600" w:type="dxa"/>
          </w:tcPr>
          <w:p w:rsidR="004A289E" w:rsidRPr="00E226C9" w:rsidRDefault="004A289E" w:rsidP="00E226C9">
            <w:pPr>
              <w:pStyle w:val="NoSpacing"/>
              <w:spacing w:line="480" w:lineRule="auto"/>
              <w:jc w:val="right"/>
              <w:rPr>
                <w:rFonts w:ascii="Times New Roman" w:hAnsi="Times New Roman"/>
                <w:sz w:val="24"/>
              </w:rPr>
            </w:pPr>
          </w:p>
          <w:p w:rsidR="004A289E" w:rsidRPr="00E226C9" w:rsidRDefault="004A289E" w:rsidP="00E226C9">
            <w:pPr>
              <w:pStyle w:val="NoSpacing"/>
              <w:spacing w:line="480" w:lineRule="auto"/>
              <w:jc w:val="right"/>
              <w:rPr>
                <w:rFonts w:ascii="Times New Roman" w:hAnsi="Times New Roman"/>
                <w:sz w:val="24"/>
              </w:rPr>
            </w:pPr>
            <w:r w:rsidRPr="00E226C9">
              <w:rPr>
                <w:rFonts w:ascii="Times New Roman" w:hAnsi="Times New Roman"/>
                <w:sz w:val="24"/>
              </w:rPr>
              <w:t xml:space="preserve">Date: </w:t>
            </w:r>
          </w:p>
        </w:tc>
        <w:tc>
          <w:tcPr>
            <w:tcW w:w="3860" w:type="dxa"/>
            <w:tcBorders>
              <w:top w:val="single" w:sz="4" w:space="0" w:color="auto"/>
              <w:bottom w:val="single" w:sz="4" w:space="0" w:color="auto"/>
            </w:tcBorders>
          </w:tcPr>
          <w:p w:rsidR="004A289E" w:rsidRPr="00E226C9" w:rsidRDefault="004A289E" w:rsidP="00E226C9">
            <w:pPr>
              <w:pStyle w:val="NoSpacing"/>
              <w:spacing w:line="480" w:lineRule="auto"/>
              <w:rPr>
                <w:rFonts w:ascii="Times New Roman" w:hAnsi="Times New Roman"/>
                <w:sz w:val="24"/>
              </w:rPr>
            </w:pPr>
          </w:p>
        </w:tc>
      </w:tr>
    </w:tbl>
    <w:p w:rsidR="00995020" w:rsidRPr="00E226C9" w:rsidRDefault="00CF7242" w:rsidP="00E226C9">
      <w:pPr>
        <w:pStyle w:val="Heading1"/>
        <w:spacing w:line="480" w:lineRule="auto"/>
        <w:rPr>
          <w:rFonts w:ascii="Times New Roman" w:hAnsi="Times New Roman"/>
          <w:sz w:val="24"/>
        </w:rPr>
      </w:pPr>
      <w:r w:rsidRPr="00E226C9">
        <w:rPr>
          <w:rFonts w:ascii="Times New Roman" w:hAnsi="Times New Roman"/>
          <w:sz w:val="24"/>
        </w:rPr>
        <w:t>Case</w:t>
      </w:r>
      <w:r w:rsidR="004A289E" w:rsidRPr="00E226C9">
        <w:rPr>
          <w:rFonts w:ascii="Times New Roman" w:hAnsi="Times New Roman"/>
          <w:sz w:val="24"/>
        </w:rPr>
        <w:t xml:space="preserve"> #</w:t>
      </w:r>
      <w:r w:rsidR="00F42E18" w:rsidRPr="00E226C9">
        <w:rPr>
          <w:rFonts w:ascii="Times New Roman" w:hAnsi="Times New Roman"/>
          <w:sz w:val="24"/>
        </w:rPr>
        <w:t>2</w:t>
      </w:r>
      <w:r w:rsidRPr="00E226C9">
        <w:rPr>
          <w:rFonts w:ascii="Times New Roman" w:hAnsi="Times New Roman"/>
          <w:sz w:val="24"/>
        </w:rPr>
        <w:t xml:space="preserve"> Questions: </w:t>
      </w:r>
      <w:r w:rsidR="00F42E18" w:rsidRPr="00E226C9">
        <w:rPr>
          <w:rFonts w:ascii="Times New Roman" w:hAnsi="Times New Roman"/>
          <w:sz w:val="24"/>
        </w:rPr>
        <w:t>Movie Exhibition Industry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0"/>
      </w:tblGrid>
      <w:tr w:rsidR="00CF7242" w:rsidRPr="00E226C9" w:rsidTr="00CF7242">
        <w:tc>
          <w:tcPr>
            <w:tcW w:w="10710" w:type="dxa"/>
          </w:tcPr>
          <w:p w:rsidR="003F2DC6" w:rsidRPr="00FF7B98" w:rsidRDefault="00E226C9" w:rsidP="003F2DC6">
            <w:pPr>
              <w:spacing w:after="120" w:line="480" w:lineRule="auto"/>
              <w:rPr>
                <w:rFonts w:ascii="Times New Roman" w:hAnsi="Times New Roman"/>
                <w:b/>
                <w:sz w:val="24"/>
              </w:rPr>
            </w:pPr>
            <w:r w:rsidRPr="00FF7B98">
              <w:rPr>
                <w:rFonts w:ascii="Times New Roman" w:hAnsi="Times New Roman"/>
                <w:b/>
                <w:sz w:val="24"/>
              </w:rPr>
              <w:t xml:space="preserve">Question 1: </w:t>
            </w:r>
            <w:r w:rsidR="00D26F11" w:rsidRPr="00FF7B98">
              <w:rPr>
                <w:rFonts w:ascii="Times New Roman" w:hAnsi="Times New Roman"/>
                <w:b/>
                <w:sz w:val="24"/>
              </w:rPr>
              <w:t xml:space="preserve">Review trends in the </w:t>
            </w:r>
            <w:r w:rsidR="003F2DC6" w:rsidRPr="00FF7B98">
              <w:rPr>
                <w:rFonts w:ascii="Times New Roman" w:hAnsi="Times New Roman"/>
                <w:b/>
                <w:sz w:val="24"/>
              </w:rPr>
              <w:t xml:space="preserve">general environment that affects </w:t>
            </w:r>
            <w:r w:rsidR="00D26F11" w:rsidRPr="00FF7B98">
              <w:rPr>
                <w:rFonts w:ascii="Times New Roman" w:hAnsi="Times New Roman"/>
                <w:b/>
                <w:sz w:val="24"/>
              </w:rPr>
              <w:t>the movie exhibition business, and establish whether their effects are helpful or harmful to theater owners.</w:t>
            </w:r>
          </w:p>
          <w:p w:rsidR="00D76CB5" w:rsidRPr="00E226C9" w:rsidRDefault="00D76CB5" w:rsidP="003F2DC6">
            <w:pPr>
              <w:spacing w:after="120" w:line="480" w:lineRule="auto"/>
              <w:rPr>
                <w:rFonts w:ascii="Times New Roman" w:hAnsi="Times New Roman"/>
                <w:sz w:val="24"/>
              </w:rPr>
            </w:pPr>
            <w:r w:rsidRPr="00E226C9">
              <w:rPr>
                <w:rFonts w:ascii="Times New Roman" w:hAnsi="Times New Roman"/>
                <w:sz w:val="24"/>
              </w:rPr>
              <w:t xml:space="preserve">The general environment presents various forces that are beyond regulation by the exhibition business. First, a major constant force affecting the industry is instability of domestic economic sectors of key players in the industry (Ireland, </w:t>
            </w:r>
            <w:proofErr w:type="spellStart"/>
            <w:r w:rsidRPr="00E226C9">
              <w:rPr>
                <w:rFonts w:ascii="Times New Roman" w:hAnsi="Times New Roman"/>
                <w:sz w:val="24"/>
              </w:rPr>
              <w:t>Hoskisson</w:t>
            </w:r>
            <w:proofErr w:type="spellEnd"/>
            <w:r w:rsidRPr="00E226C9">
              <w:rPr>
                <w:rFonts w:ascii="Times New Roman" w:hAnsi="Times New Roman"/>
                <w:sz w:val="24"/>
              </w:rPr>
              <w:t xml:space="preserve">, &amp; </w:t>
            </w:r>
            <w:proofErr w:type="spellStart"/>
            <w:r w:rsidRPr="00E226C9">
              <w:rPr>
                <w:rFonts w:ascii="Times New Roman" w:hAnsi="Times New Roman"/>
                <w:sz w:val="24"/>
              </w:rPr>
              <w:t>Hitt</w:t>
            </w:r>
            <w:proofErr w:type="spellEnd"/>
            <w:r w:rsidRPr="00E226C9">
              <w:rPr>
                <w:rFonts w:ascii="Times New Roman" w:hAnsi="Times New Roman"/>
                <w:sz w:val="24"/>
              </w:rPr>
              <w:t>, 2014). While in the past economic downturns presented theater operations an opportunity to increase ticket sales, hikes of ticket pricing in recent years and increasing availability of substitute goods make it unpredictable for theater owners to analyze trends of the recession effect; hence negatively affecting their business. Other notable external environmental changes are changes in sociocultural and demographic conditions.</w:t>
            </w:r>
          </w:p>
          <w:p w:rsidR="00CF7242" w:rsidRPr="00E226C9" w:rsidRDefault="00D76CB5" w:rsidP="003F2DC6">
            <w:pPr>
              <w:spacing w:after="120" w:line="480" w:lineRule="auto"/>
              <w:rPr>
                <w:rFonts w:ascii="Times New Roman" w:hAnsi="Times New Roman"/>
                <w:sz w:val="24"/>
              </w:rPr>
            </w:pPr>
            <w:r w:rsidRPr="00E226C9">
              <w:rPr>
                <w:rFonts w:ascii="Times New Roman" w:hAnsi="Times New Roman"/>
                <w:sz w:val="24"/>
              </w:rPr>
              <w:t xml:space="preserve">Recent studies established that Americans hold the record for most time in movie or theater entertainment. However, the majority of the theater </w:t>
            </w:r>
            <w:proofErr w:type="gramStart"/>
            <w:r w:rsidRPr="00E226C9">
              <w:rPr>
                <w:rFonts w:ascii="Times New Roman" w:hAnsi="Times New Roman"/>
                <w:sz w:val="24"/>
              </w:rPr>
              <w:t>audience in 2014 were</w:t>
            </w:r>
            <w:proofErr w:type="gramEnd"/>
            <w:r w:rsidRPr="00E226C9">
              <w:rPr>
                <w:rFonts w:ascii="Times New Roman" w:hAnsi="Times New Roman"/>
                <w:sz w:val="24"/>
              </w:rPr>
              <w:t xml:space="preserve"> aged 25-39 years and those between 18- 24 years, making a promising future to attend theater exhibitions (Ireland, </w:t>
            </w:r>
            <w:proofErr w:type="spellStart"/>
            <w:r w:rsidRPr="00E226C9">
              <w:rPr>
                <w:rFonts w:ascii="Times New Roman" w:hAnsi="Times New Roman"/>
                <w:sz w:val="24"/>
              </w:rPr>
              <w:t>Hoskisson</w:t>
            </w:r>
            <w:proofErr w:type="spellEnd"/>
            <w:r w:rsidRPr="00E226C9">
              <w:rPr>
                <w:rFonts w:ascii="Times New Roman" w:hAnsi="Times New Roman"/>
                <w:sz w:val="24"/>
              </w:rPr>
              <w:t xml:space="preserve">, &amp; </w:t>
            </w:r>
            <w:proofErr w:type="spellStart"/>
            <w:r w:rsidRPr="00E226C9">
              <w:rPr>
                <w:rFonts w:ascii="Times New Roman" w:hAnsi="Times New Roman"/>
                <w:sz w:val="24"/>
              </w:rPr>
              <w:t>Hitt</w:t>
            </w:r>
            <w:proofErr w:type="spellEnd"/>
            <w:r w:rsidRPr="00E226C9">
              <w:rPr>
                <w:rFonts w:ascii="Times New Roman" w:hAnsi="Times New Roman"/>
                <w:sz w:val="24"/>
              </w:rPr>
              <w:t xml:space="preserve">, 2014). Although demographic dynamics sheds optimism for theater operators due to the growing popularity of theater entertainment, there are increased opportunities for viewing films outside theaters due to modern innovation. Technological trends include digital projection systems and 3D technology. Such technology is preferred and attracts numerous viewers although it is costly for theater owners.  Furthermore, emerging technologies such as popular media platforms using portable devices affect theater viewing. This situation poses a threat to theater owners with studies showing falling attendance rates and ticket sales. The political and legal trends </w:t>
            </w:r>
            <w:r w:rsidRPr="00E226C9">
              <w:rPr>
                <w:rFonts w:ascii="Times New Roman" w:hAnsi="Times New Roman"/>
                <w:sz w:val="24"/>
              </w:rPr>
              <w:lastRenderedPageBreak/>
              <w:t>have to do with modern online piracy that is on the rise; hence estimating high revenue loses for the industry.</w:t>
            </w:r>
          </w:p>
        </w:tc>
      </w:tr>
      <w:tr w:rsidR="00CF7242" w:rsidRPr="00E226C9" w:rsidTr="00CF7242">
        <w:tc>
          <w:tcPr>
            <w:tcW w:w="10710" w:type="dxa"/>
          </w:tcPr>
          <w:p w:rsidR="00D26F11" w:rsidRPr="00FF7B98" w:rsidRDefault="00E226C9" w:rsidP="00E226C9">
            <w:pPr>
              <w:spacing w:after="120" w:line="480" w:lineRule="auto"/>
              <w:rPr>
                <w:rFonts w:ascii="Times New Roman" w:hAnsi="Times New Roman"/>
                <w:b/>
                <w:sz w:val="24"/>
              </w:rPr>
            </w:pPr>
            <w:r w:rsidRPr="00FF7B98">
              <w:rPr>
                <w:rFonts w:ascii="Times New Roman" w:hAnsi="Times New Roman"/>
                <w:b/>
                <w:sz w:val="24"/>
              </w:rPr>
              <w:lastRenderedPageBreak/>
              <w:t xml:space="preserve">Question 2: </w:t>
            </w:r>
            <w:r w:rsidR="00D26F11" w:rsidRPr="00FF7B98">
              <w:rPr>
                <w:rFonts w:ascii="Times New Roman" w:hAnsi="Times New Roman"/>
                <w:b/>
                <w:sz w:val="24"/>
              </w:rPr>
              <w:t>Assess the five competitive forces at work in the industry environment. Identify the forces that threaten the profitability of prevailing movie circuits, and prescribe the level of competition that can be anticipated amongst industry rivals.</w:t>
            </w:r>
          </w:p>
          <w:p w:rsidR="000C651F" w:rsidRPr="00E226C9" w:rsidRDefault="00D76CB5" w:rsidP="003F2DC6">
            <w:pPr>
              <w:spacing w:after="120" w:line="480" w:lineRule="auto"/>
              <w:rPr>
                <w:rFonts w:ascii="Times New Roman" w:hAnsi="Times New Roman"/>
                <w:sz w:val="24"/>
              </w:rPr>
            </w:pPr>
            <w:r w:rsidRPr="00E226C9">
              <w:rPr>
                <w:rFonts w:ascii="Times New Roman" w:hAnsi="Times New Roman"/>
                <w:sz w:val="24"/>
              </w:rPr>
              <w:t xml:space="preserve">Although there are many theater exhibitions in the world, the industry is dominated by big industry players such as Regal, Cinemark, AMC, and Carmike whose product differentiation is high. Threats of new entrants are low due to costs involved in setting up a theater and strict regulations and rules. According to Ireland, </w:t>
            </w:r>
            <w:proofErr w:type="spellStart"/>
            <w:r w:rsidRPr="00E226C9">
              <w:rPr>
                <w:rFonts w:ascii="Times New Roman" w:hAnsi="Times New Roman"/>
                <w:sz w:val="24"/>
              </w:rPr>
              <w:t>Hoskisson</w:t>
            </w:r>
            <w:proofErr w:type="spellEnd"/>
            <w:r w:rsidRPr="00E226C9">
              <w:rPr>
                <w:rFonts w:ascii="Times New Roman" w:hAnsi="Times New Roman"/>
                <w:sz w:val="24"/>
              </w:rPr>
              <w:t xml:space="preserve">, and </w:t>
            </w:r>
            <w:proofErr w:type="spellStart"/>
            <w:r w:rsidRPr="00E226C9">
              <w:rPr>
                <w:rFonts w:ascii="Times New Roman" w:hAnsi="Times New Roman"/>
                <w:sz w:val="24"/>
              </w:rPr>
              <w:t>Hitt</w:t>
            </w:r>
            <w:proofErr w:type="spellEnd"/>
            <w:r w:rsidRPr="00E226C9">
              <w:rPr>
                <w:rFonts w:ascii="Times New Roman" w:hAnsi="Times New Roman"/>
                <w:sz w:val="24"/>
              </w:rPr>
              <w:t xml:space="preserve"> (2014), the bargaining power of suppliers is medium to high due to the importance of suppliers in the theater business. Additionally, there are fewer film production studios than theaters. The buyer bargaining power is high because buyers are sensitive to prices in the industry. Threats of substitutes are medium to high due to home theater technology and equipment. Additionally, home cinema is gaining popularity due to increased renting of movies. The rivalry among competitors is also medium to high although big companies (AMC, Carmike, Regal, and Cinemark) dominate half of the market. International competition is also high mainly between midsized and small theater chains. However, the profitability of major theaters is threatened by the availability of substitutes.</w:t>
            </w:r>
          </w:p>
        </w:tc>
      </w:tr>
      <w:tr w:rsidR="00CF7242" w:rsidRPr="00E226C9" w:rsidTr="00CF7242">
        <w:tc>
          <w:tcPr>
            <w:tcW w:w="10710" w:type="dxa"/>
          </w:tcPr>
          <w:p w:rsidR="00D26F11" w:rsidRPr="00FF7B98" w:rsidRDefault="003F2DC6" w:rsidP="00E226C9">
            <w:pPr>
              <w:spacing w:after="120" w:line="480" w:lineRule="auto"/>
              <w:rPr>
                <w:rFonts w:ascii="Times New Roman" w:hAnsi="Times New Roman"/>
                <w:b/>
                <w:sz w:val="24"/>
              </w:rPr>
            </w:pPr>
            <w:r w:rsidRPr="00FF7B98">
              <w:rPr>
                <w:rFonts w:ascii="Times New Roman" w:hAnsi="Times New Roman"/>
                <w:b/>
                <w:sz w:val="24"/>
              </w:rPr>
              <w:t>Q</w:t>
            </w:r>
            <w:r w:rsidR="00E226C9" w:rsidRPr="00FF7B98">
              <w:rPr>
                <w:rFonts w:ascii="Times New Roman" w:hAnsi="Times New Roman"/>
                <w:b/>
                <w:sz w:val="24"/>
              </w:rPr>
              <w:t xml:space="preserve">uestion 3: </w:t>
            </w:r>
            <w:r w:rsidR="00D26F11" w:rsidRPr="00FF7B98">
              <w:rPr>
                <w:rFonts w:ascii="Times New Roman" w:hAnsi="Times New Roman"/>
                <w:b/>
                <w:sz w:val="24"/>
              </w:rPr>
              <w:t>Perform comparative situation and strategy analyses for the four companies with dominant market share. What are the advantages and disadvantages for each of the industry’s top competitors?</w:t>
            </w:r>
          </w:p>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 xml:space="preserve">The earlier-mentioned companies, AMC, Carmike, Regal, and Cinemark dominate the movie exhibition industry (Ireland, </w:t>
            </w:r>
            <w:proofErr w:type="spellStart"/>
            <w:r w:rsidRPr="00E226C9">
              <w:rPr>
                <w:rFonts w:ascii="Times New Roman" w:hAnsi="Times New Roman"/>
                <w:sz w:val="24"/>
              </w:rPr>
              <w:t>Hoskisson</w:t>
            </w:r>
            <w:proofErr w:type="spellEnd"/>
            <w:r w:rsidRPr="00E226C9">
              <w:rPr>
                <w:rFonts w:ascii="Times New Roman" w:hAnsi="Times New Roman"/>
                <w:sz w:val="24"/>
              </w:rPr>
              <w:t xml:space="preserve">, &amp; </w:t>
            </w:r>
            <w:proofErr w:type="spellStart"/>
            <w:r w:rsidRPr="00E226C9">
              <w:rPr>
                <w:rFonts w:ascii="Times New Roman" w:hAnsi="Times New Roman"/>
                <w:sz w:val="24"/>
              </w:rPr>
              <w:t>Hitt</w:t>
            </w:r>
            <w:proofErr w:type="spellEnd"/>
            <w:r w:rsidRPr="00E226C9">
              <w:rPr>
                <w:rFonts w:ascii="Times New Roman" w:hAnsi="Times New Roman"/>
                <w:sz w:val="24"/>
              </w:rPr>
              <w:t>, 2014).</w:t>
            </w:r>
          </w:p>
          <w:tbl>
            <w:tblPr>
              <w:tblStyle w:val="TableGrid"/>
              <w:tblW w:w="0" w:type="auto"/>
              <w:tblLook w:val="04A0" w:firstRow="1" w:lastRow="0" w:firstColumn="1" w:lastColumn="0" w:noHBand="0" w:noVBand="1"/>
            </w:tblPr>
            <w:tblGrid>
              <w:gridCol w:w="1915"/>
              <w:gridCol w:w="1915"/>
              <w:gridCol w:w="1915"/>
              <w:gridCol w:w="1915"/>
              <w:gridCol w:w="1916"/>
            </w:tblGrid>
            <w:tr w:rsidR="00D76CB5" w:rsidRPr="00E226C9" w:rsidTr="00A400EC">
              <w:tc>
                <w:tcPr>
                  <w:tcW w:w="1915" w:type="dxa"/>
                </w:tcPr>
                <w:p w:rsidR="00D76CB5" w:rsidRPr="00E226C9" w:rsidRDefault="00D76CB5" w:rsidP="00E226C9">
                  <w:pPr>
                    <w:spacing w:line="480" w:lineRule="auto"/>
                    <w:rPr>
                      <w:rFonts w:ascii="Times New Roman" w:hAnsi="Times New Roman"/>
                      <w:sz w:val="24"/>
                    </w:rPr>
                  </w:pP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AMC</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Carmike</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Regal</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Cinemark</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Market</w:t>
                  </w:r>
                  <w:r w:rsidRPr="00E226C9">
                    <w:rPr>
                      <w:rFonts w:ascii="Times New Roman" w:hAnsi="Times New Roman"/>
                      <w:sz w:val="24"/>
                    </w:rPr>
                    <w:t xml:space="preserve"> </w:t>
                  </w:r>
                  <w:r w:rsidRPr="00E226C9">
                    <w:rPr>
                      <w:rFonts w:ascii="Times New Roman" w:hAnsi="Times New Roman"/>
                      <w:b/>
                      <w:sz w:val="24"/>
                    </w:rPr>
                    <w:t>focus</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Urban</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Rural</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Mid-size</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Smaller</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lastRenderedPageBreak/>
                    <w:t>No</w:t>
                  </w:r>
                  <w:r w:rsidRPr="00E226C9">
                    <w:rPr>
                      <w:rFonts w:ascii="Times New Roman" w:hAnsi="Times New Roman"/>
                      <w:sz w:val="24"/>
                    </w:rPr>
                    <w:t xml:space="preserve">. </w:t>
                  </w:r>
                  <w:r w:rsidRPr="00E226C9">
                    <w:rPr>
                      <w:rFonts w:ascii="Times New Roman" w:hAnsi="Times New Roman"/>
                      <w:b/>
                      <w:sz w:val="24"/>
                    </w:rPr>
                    <w:t>of</w:t>
                  </w:r>
                  <w:r w:rsidRPr="00E226C9">
                    <w:rPr>
                      <w:rFonts w:ascii="Times New Roman" w:hAnsi="Times New Roman"/>
                      <w:sz w:val="24"/>
                    </w:rPr>
                    <w:t xml:space="preserve"> </w:t>
                  </w:r>
                  <w:r w:rsidRPr="00E226C9">
                    <w:rPr>
                      <w:rFonts w:ascii="Times New Roman" w:hAnsi="Times New Roman"/>
                      <w:b/>
                      <w:sz w:val="24"/>
                    </w:rPr>
                    <w:t>Screens</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4513</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2277</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6768</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3830</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Locations</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297</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244</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548</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294</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Ticket</w:t>
                  </w:r>
                  <w:r w:rsidRPr="00E226C9">
                    <w:rPr>
                      <w:rFonts w:ascii="Times New Roman" w:hAnsi="Times New Roman"/>
                      <w:sz w:val="24"/>
                    </w:rPr>
                    <w:t xml:space="preserve"> </w:t>
                  </w:r>
                  <w:r w:rsidRPr="00E226C9">
                    <w:rPr>
                      <w:rFonts w:ascii="Times New Roman" w:hAnsi="Times New Roman"/>
                      <w:b/>
                      <w:sz w:val="24"/>
                    </w:rPr>
                    <w:t>price</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N/A</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$6.56</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$8.15</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$5.46</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Digital</w:t>
                  </w:r>
                  <w:r w:rsidRPr="00E226C9">
                    <w:rPr>
                      <w:rFonts w:ascii="Times New Roman" w:hAnsi="Times New Roman"/>
                      <w:sz w:val="24"/>
                    </w:rPr>
                    <w:t xml:space="preserve"> </w:t>
                  </w:r>
                  <w:r w:rsidRPr="00E226C9">
                    <w:rPr>
                      <w:rFonts w:ascii="Times New Roman" w:hAnsi="Times New Roman"/>
                      <w:b/>
                      <w:sz w:val="24"/>
                    </w:rPr>
                    <w:t>Conversion</w:t>
                  </w:r>
                  <w:r w:rsidRPr="00E226C9">
                    <w:rPr>
                      <w:rFonts w:ascii="Times New Roman" w:hAnsi="Times New Roman"/>
                      <w:sz w:val="24"/>
                    </w:rPr>
                    <w:t xml:space="preserve"> </w:t>
                  </w:r>
                  <w:r w:rsidRPr="00E226C9">
                    <w:rPr>
                      <w:rFonts w:ascii="Times New Roman" w:hAnsi="Times New Roman"/>
                      <w:b/>
                      <w:sz w:val="24"/>
                    </w:rPr>
                    <w:t>Strategy</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DCPI Partnership</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Lease Service Approach</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DCPI Partnership</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DCPI Partnerships</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Advantages</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It has a low screen fixed costs and it is strategically located in large cities</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Located in markets where entertainment is limited. It has good prices and best cost position</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Has the highest bargaining power with suppliers due to large size. It also has lower screen fixed cost and quality setting of theater</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It is internationally established and has the best price position. Additionally, its fixed costs are lower per screen</w:t>
                  </w:r>
                </w:p>
              </w:tc>
            </w:tr>
            <w:tr w:rsidR="00D76CB5" w:rsidRPr="00E226C9" w:rsidTr="00A400E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b/>
                      <w:sz w:val="24"/>
                    </w:rPr>
                    <w:t>Disadvantage</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 xml:space="preserve">Its ongoing commitment to DCPI royalty limits it and has greater indirect and direct competition faced in </w:t>
                  </w:r>
                  <w:r w:rsidRPr="00E226C9">
                    <w:rPr>
                      <w:rFonts w:ascii="Times New Roman" w:hAnsi="Times New Roman"/>
                      <w:sz w:val="24"/>
                    </w:rPr>
                    <w:lastRenderedPageBreak/>
                    <w:t>operation.</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lastRenderedPageBreak/>
                    <w:t>Inferior quality of facility compared to others and higher fixed costs due to related terms of lease services.</w:t>
                  </w:r>
                </w:p>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 xml:space="preserve">It also has </w:t>
                  </w:r>
                  <w:r w:rsidRPr="00E226C9">
                    <w:rPr>
                      <w:rFonts w:ascii="Times New Roman" w:hAnsi="Times New Roman"/>
                      <w:sz w:val="24"/>
                    </w:rPr>
                    <w:lastRenderedPageBreak/>
                    <w:t>smaller market size.</w:t>
                  </w:r>
                </w:p>
              </w:tc>
              <w:tc>
                <w:tcPr>
                  <w:tcW w:w="1915"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lastRenderedPageBreak/>
                    <w:t>It has a greater debt-level as well as limitation caused by its ongoing commitment to DCPI royalty.</w:t>
                  </w:r>
                </w:p>
              </w:tc>
              <w:tc>
                <w:tcPr>
                  <w:tcW w:w="1916" w:type="dxa"/>
                </w:tcPr>
                <w:p w:rsidR="00D76CB5" w:rsidRPr="00E226C9" w:rsidRDefault="00D76CB5" w:rsidP="00E226C9">
                  <w:pPr>
                    <w:spacing w:line="480" w:lineRule="auto"/>
                    <w:rPr>
                      <w:rFonts w:ascii="Times New Roman" w:hAnsi="Times New Roman"/>
                      <w:sz w:val="24"/>
                    </w:rPr>
                  </w:pPr>
                  <w:r w:rsidRPr="00E226C9">
                    <w:rPr>
                      <w:rFonts w:ascii="Times New Roman" w:hAnsi="Times New Roman"/>
                      <w:sz w:val="24"/>
                    </w:rPr>
                    <w:t xml:space="preserve">There are high facility costs and its capacity may exceed the market size in addition to the ongoing commitment for </w:t>
                  </w:r>
                  <w:r w:rsidRPr="00E226C9">
                    <w:rPr>
                      <w:rFonts w:ascii="Times New Roman" w:hAnsi="Times New Roman"/>
                      <w:sz w:val="24"/>
                    </w:rPr>
                    <w:lastRenderedPageBreak/>
                    <w:t>DCPI royalty.</w:t>
                  </w:r>
                </w:p>
              </w:tc>
            </w:tr>
          </w:tbl>
          <w:p w:rsidR="00D76CB5" w:rsidRPr="00E226C9" w:rsidRDefault="00D76CB5" w:rsidP="00E226C9">
            <w:pPr>
              <w:pStyle w:val="ListParagraph"/>
              <w:spacing w:after="120" w:line="480" w:lineRule="auto"/>
              <w:rPr>
                <w:rFonts w:ascii="Times New Roman" w:hAnsi="Times New Roman"/>
                <w:sz w:val="24"/>
              </w:rPr>
            </w:pPr>
          </w:p>
          <w:p w:rsidR="000C651F" w:rsidRPr="00E226C9" w:rsidRDefault="000C651F" w:rsidP="00E226C9">
            <w:pPr>
              <w:pStyle w:val="NoSpacing"/>
              <w:spacing w:line="480" w:lineRule="auto"/>
              <w:ind w:left="720"/>
              <w:rPr>
                <w:rFonts w:ascii="Times New Roman" w:hAnsi="Times New Roman"/>
                <w:sz w:val="24"/>
              </w:rPr>
            </w:pPr>
          </w:p>
        </w:tc>
      </w:tr>
      <w:tr w:rsidR="00CF7242" w:rsidRPr="00E226C9" w:rsidTr="00CF7242">
        <w:tc>
          <w:tcPr>
            <w:tcW w:w="10710" w:type="dxa"/>
          </w:tcPr>
          <w:p w:rsidR="00D26F11" w:rsidRPr="00FF7B98" w:rsidRDefault="00E226C9" w:rsidP="00E226C9">
            <w:pPr>
              <w:spacing w:after="0" w:line="480" w:lineRule="auto"/>
              <w:rPr>
                <w:rFonts w:ascii="Times New Roman" w:hAnsi="Times New Roman"/>
                <w:b/>
                <w:sz w:val="24"/>
              </w:rPr>
            </w:pPr>
            <w:r w:rsidRPr="00FF7B98">
              <w:rPr>
                <w:rFonts w:ascii="Times New Roman" w:hAnsi="Times New Roman"/>
                <w:b/>
                <w:sz w:val="24"/>
              </w:rPr>
              <w:lastRenderedPageBreak/>
              <w:t xml:space="preserve">Question 4: </w:t>
            </w:r>
            <w:r w:rsidR="00D26F11" w:rsidRPr="00FF7B98">
              <w:rPr>
                <w:rFonts w:ascii="Times New Roman" w:hAnsi="Times New Roman"/>
                <w:b/>
                <w:sz w:val="24"/>
              </w:rPr>
              <w:t>Evaluate the revenue sources and major costs for movie exhibitors. Discuss how the income structure of their business impacts their financial results.</w:t>
            </w:r>
          </w:p>
          <w:p w:rsidR="00D26F11" w:rsidRPr="00E226C9" w:rsidRDefault="00D76CB5" w:rsidP="00E226C9">
            <w:pPr>
              <w:spacing w:line="480" w:lineRule="auto"/>
              <w:rPr>
                <w:rFonts w:ascii="Times New Roman" w:hAnsi="Times New Roman"/>
                <w:sz w:val="24"/>
              </w:rPr>
            </w:pPr>
            <w:r w:rsidRPr="00E226C9">
              <w:rPr>
                <w:rFonts w:ascii="Times New Roman" w:hAnsi="Times New Roman"/>
                <w:sz w:val="24"/>
              </w:rPr>
              <w:t xml:space="preserve">The main revenue source for movie exhibitors is concessions, box office receipts, and advertising. For instance, the sales of tickets account for two-thirds of box office revenue. Film rental is another revenue source especially among the largest inhibitors (Ireland, </w:t>
            </w:r>
            <w:proofErr w:type="spellStart"/>
            <w:r w:rsidRPr="00E226C9">
              <w:rPr>
                <w:rFonts w:ascii="Times New Roman" w:hAnsi="Times New Roman"/>
                <w:sz w:val="24"/>
              </w:rPr>
              <w:t>Hoskisson</w:t>
            </w:r>
            <w:proofErr w:type="spellEnd"/>
            <w:r w:rsidRPr="00E226C9">
              <w:rPr>
                <w:rFonts w:ascii="Times New Roman" w:hAnsi="Times New Roman"/>
                <w:sz w:val="24"/>
              </w:rPr>
              <w:t xml:space="preserve">, &amp; </w:t>
            </w:r>
            <w:proofErr w:type="spellStart"/>
            <w:r w:rsidRPr="00E226C9">
              <w:rPr>
                <w:rFonts w:ascii="Times New Roman" w:hAnsi="Times New Roman"/>
                <w:sz w:val="24"/>
              </w:rPr>
              <w:t>Hitt</w:t>
            </w:r>
            <w:proofErr w:type="spellEnd"/>
            <w:r w:rsidRPr="00E226C9">
              <w:rPr>
                <w:rFonts w:ascii="Times New Roman" w:hAnsi="Times New Roman"/>
                <w:sz w:val="24"/>
              </w:rPr>
              <w:t>, 2014). Other sources include multi-entertainment that includes gaming rooms in theaters. The costs include labor and facility costs, utilities, and other expenses. Studies indicate that exhibitors have limited control over their revenues and lack of flexibility in regulating costs of their goods and services thus affecting their financial outcomes. For example, their profit potential is marginal due to low income across the industry.</w:t>
            </w:r>
          </w:p>
        </w:tc>
      </w:tr>
      <w:tr w:rsidR="00D26F11" w:rsidRPr="00E226C9" w:rsidTr="00CF7242">
        <w:tc>
          <w:tcPr>
            <w:tcW w:w="10710" w:type="dxa"/>
          </w:tcPr>
          <w:p w:rsidR="00D26F11" w:rsidRPr="00FF7B98" w:rsidRDefault="00E226C9" w:rsidP="00E226C9">
            <w:pPr>
              <w:spacing w:after="0" w:line="480" w:lineRule="auto"/>
              <w:rPr>
                <w:rFonts w:ascii="Times New Roman" w:hAnsi="Times New Roman"/>
                <w:b/>
                <w:sz w:val="24"/>
              </w:rPr>
            </w:pPr>
            <w:bookmarkStart w:id="0" w:name="_GoBack"/>
            <w:r w:rsidRPr="00FF7B98">
              <w:rPr>
                <w:rFonts w:ascii="Times New Roman" w:hAnsi="Times New Roman"/>
                <w:b/>
                <w:sz w:val="24"/>
              </w:rPr>
              <w:t xml:space="preserve">Question 5: </w:t>
            </w:r>
            <w:r w:rsidR="00D26F11" w:rsidRPr="00FF7B98">
              <w:rPr>
                <w:rFonts w:ascii="Times New Roman" w:hAnsi="Times New Roman"/>
                <w:b/>
                <w:sz w:val="24"/>
              </w:rPr>
              <w:t>Summarize your findings and the current situation for exhibitor circuits. Based on your analysis, what strategic actions do you propose for theater operators to increase the appeal of the theater setting to attract the audiences needed for improved performance under existing industry conditions?</w:t>
            </w:r>
          </w:p>
          <w:bookmarkEnd w:id="0"/>
          <w:p w:rsidR="00E226C9" w:rsidRPr="00E226C9" w:rsidRDefault="00D76CB5" w:rsidP="00E226C9">
            <w:pPr>
              <w:spacing w:after="0" w:line="480" w:lineRule="auto"/>
              <w:rPr>
                <w:rFonts w:ascii="Times New Roman" w:hAnsi="Times New Roman"/>
                <w:sz w:val="24"/>
              </w:rPr>
            </w:pPr>
            <w:r w:rsidRPr="00E226C9">
              <w:rPr>
                <w:rFonts w:ascii="Times New Roman" w:hAnsi="Times New Roman"/>
                <w:sz w:val="24"/>
              </w:rPr>
              <w:t>Theater operators need to take certain strategic decisions to improve performance and increase their audience base. One action would be price flexibility instead of maintaining the current cost-leadership strategies. There is also need for product differentiation from theater experiences and offering other amenities that raise demand. Notably, the firms in theater business have long-term debts hence need to eliminate them for future growth.</w:t>
            </w:r>
          </w:p>
          <w:p w:rsidR="00E226C9" w:rsidRDefault="00E226C9" w:rsidP="00E226C9">
            <w:pPr>
              <w:spacing w:after="0" w:line="480" w:lineRule="auto"/>
              <w:jc w:val="center"/>
              <w:rPr>
                <w:rFonts w:ascii="Times New Roman" w:hAnsi="Times New Roman"/>
                <w:sz w:val="24"/>
              </w:rPr>
            </w:pPr>
          </w:p>
          <w:p w:rsidR="003F2DC6" w:rsidRDefault="003F2DC6" w:rsidP="00E226C9">
            <w:pPr>
              <w:spacing w:after="0" w:line="480" w:lineRule="auto"/>
              <w:jc w:val="center"/>
              <w:rPr>
                <w:rFonts w:ascii="Times New Roman" w:hAnsi="Times New Roman"/>
                <w:sz w:val="24"/>
              </w:rPr>
            </w:pPr>
          </w:p>
          <w:p w:rsidR="003F2DC6" w:rsidRDefault="003F2DC6" w:rsidP="00E226C9">
            <w:pPr>
              <w:spacing w:after="0" w:line="480" w:lineRule="auto"/>
              <w:jc w:val="center"/>
              <w:rPr>
                <w:rFonts w:ascii="Times New Roman" w:hAnsi="Times New Roman"/>
                <w:sz w:val="24"/>
              </w:rPr>
            </w:pPr>
          </w:p>
          <w:p w:rsidR="00D76CB5" w:rsidRPr="00E226C9" w:rsidRDefault="00E226C9" w:rsidP="00E226C9">
            <w:pPr>
              <w:spacing w:after="0" w:line="480" w:lineRule="auto"/>
              <w:jc w:val="center"/>
              <w:rPr>
                <w:rFonts w:ascii="Times New Roman" w:hAnsi="Times New Roman"/>
                <w:sz w:val="24"/>
              </w:rPr>
            </w:pPr>
            <w:r w:rsidRPr="00E226C9">
              <w:rPr>
                <w:rFonts w:ascii="Times New Roman" w:hAnsi="Times New Roman"/>
                <w:sz w:val="24"/>
              </w:rPr>
              <w:t>Re</w:t>
            </w:r>
            <w:r w:rsidR="00D76CB5" w:rsidRPr="00E226C9">
              <w:rPr>
                <w:rFonts w:ascii="Times New Roman" w:hAnsi="Times New Roman"/>
                <w:sz w:val="24"/>
              </w:rPr>
              <w:t>ferences</w:t>
            </w:r>
          </w:p>
          <w:p w:rsidR="00D26F11" w:rsidRPr="00E226C9" w:rsidRDefault="00E226C9" w:rsidP="003F2DC6">
            <w:pPr>
              <w:spacing w:line="480" w:lineRule="auto"/>
              <w:ind w:left="720" w:hanging="720"/>
              <w:contextualSpacing/>
              <w:rPr>
                <w:rFonts w:ascii="Times New Roman" w:hAnsi="Times New Roman"/>
                <w:sz w:val="24"/>
                <w:highlight w:val="yellow"/>
              </w:rPr>
            </w:pPr>
            <w:r w:rsidRPr="00E226C9">
              <w:rPr>
                <w:rFonts w:ascii="Times New Roman" w:hAnsi="Times New Roman"/>
                <w:sz w:val="24"/>
              </w:rPr>
              <w:t xml:space="preserve">Ireland, R. D., </w:t>
            </w:r>
            <w:proofErr w:type="spellStart"/>
            <w:r w:rsidRPr="00E226C9">
              <w:rPr>
                <w:rFonts w:ascii="Times New Roman" w:hAnsi="Times New Roman"/>
                <w:sz w:val="24"/>
              </w:rPr>
              <w:t>Hoskisson</w:t>
            </w:r>
            <w:proofErr w:type="spellEnd"/>
            <w:r w:rsidRPr="00E226C9">
              <w:rPr>
                <w:rFonts w:ascii="Times New Roman" w:hAnsi="Times New Roman"/>
                <w:sz w:val="24"/>
              </w:rPr>
              <w:t xml:space="preserve">, R. E., &amp; </w:t>
            </w:r>
            <w:proofErr w:type="spellStart"/>
            <w:r w:rsidRPr="00E226C9">
              <w:rPr>
                <w:rFonts w:ascii="Times New Roman" w:hAnsi="Times New Roman"/>
                <w:sz w:val="24"/>
              </w:rPr>
              <w:t>Hitt</w:t>
            </w:r>
            <w:proofErr w:type="spellEnd"/>
            <w:r w:rsidRPr="00E226C9">
              <w:rPr>
                <w:rFonts w:ascii="Times New Roman" w:hAnsi="Times New Roman"/>
                <w:sz w:val="24"/>
              </w:rPr>
              <w:t>, M. A. (2014). Strategic Management: Concepts and Cases: Competitiveness and Globalization. </w:t>
            </w:r>
            <w:r w:rsidRPr="00E226C9">
              <w:rPr>
                <w:rFonts w:ascii="Times New Roman" w:hAnsi="Times New Roman"/>
                <w:i/>
                <w:iCs/>
                <w:sz w:val="24"/>
              </w:rPr>
              <w:t>Boston: South-Western College Publishing</w:t>
            </w:r>
            <w:r w:rsidRPr="00E226C9">
              <w:rPr>
                <w:rFonts w:ascii="Times New Roman" w:hAnsi="Times New Roman"/>
                <w:sz w:val="24"/>
              </w:rPr>
              <w:t>, </w:t>
            </w:r>
            <w:r w:rsidRPr="00E226C9">
              <w:rPr>
                <w:rFonts w:ascii="Times New Roman" w:hAnsi="Times New Roman"/>
                <w:i/>
                <w:iCs/>
                <w:sz w:val="24"/>
              </w:rPr>
              <w:t>201</w:t>
            </w:r>
            <w:r w:rsidRPr="00E226C9">
              <w:rPr>
                <w:rFonts w:ascii="Times New Roman" w:hAnsi="Times New Roman"/>
                <w:sz w:val="24"/>
              </w:rPr>
              <w:t>.</w:t>
            </w:r>
          </w:p>
        </w:tc>
      </w:tr>
    </w:tbl>
    <w:p w:rsidR="00995020" w:rsidRPr="00E226C9" w:rsidRDefault="00995020" w:rsidP="00E226C9">
      <w:pPr>
        <w:spacing w:line="480" w:lineRule="auto"/>
        <w:rPr>
          <w:rFonts w:ascii="Times New Roman" w:hAnsi="Times New Roman"/>
          <w:sz w:val="24"/>
        </w:rPr>
      </w:pPr>
    </w:p>
    <w:sectPr w:rsidR="00995020" w:rsidRPr="00E226C9" w:rsidSect="004A289E">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212" w:rsidRDefault="00A36212" w:rsidP="004A289E">
      <w:pPr>
        <w:spacing w:after="0"/>
      </w:pPr>
      <w:r>
        <w:separator/>
      </w:r>
    </w:p>
  </w:endnote>
  <w:endnote w:type="continuationSeparator" w:id="0">
    <w:p w:rsidR="00A36212" w:rsidRDefault="00A36212" w:rsidP="004A28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594" w:rsidRDefault="00B92594">
    <w:pPr>
      <w:pStyle w:val="Footer"/>
    </w:pPr>
    <w:r>
      <w:rPr>
        <w:noProof/>
      </w:rPr>
      <mc:AlternateContent>
        <mc:Choice Requires="wps">
          <w:drawing>
            <wp:anchor distT="0" distB="0" distL="114300" distR="114300" simplePos="0" relativeHeight="251660288" behindDoc="0" locked="0" layoutInCell="1" allowOverlap="1" wp14:anchorId="414494DE" wp14:editId="7F0FE81B">
              <wp:simplePos x="0" y="0"/>
              <wp:positionH relativeFrom="column">
                <wp:posOffset>-238125</wp:posOffset>
              </wp:positionH>
              <wp:positionV relativeFrom="paragraph">
                <wp:posOffset>-38100</wp:posOffset>
              </wp:positionV>
              <wp:extent cx="72104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7210425" cy="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E625B03"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3pt" to="54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" strokecolor="black [3213]" strokeweight="2.25pt">
              <v:stroke joinstyle="miter"/>
            </v:line>
          </w:pict>
        </mc:Fallback>
      </mc:AlternateContent>
    </w:r>
    <w:r>
      <w:t xml:space="preserve">Page </w:t>
    </w:r>
    <w:r>
      <w:rPr>
        <w:b/>
        <w:bCs/>
      </w:rPr>
      <w:fldChar w:fldCharType="begin"/>
    </w:r>
    <w:r>
      <w:rPr>
        <w:b/>
        <w:bCs/>
      </w:rPr>
      <w:instrText xml:space="preserve"> PAGE  \* Arabic  \* MERGEFORMAT </w:instrText>
    </w:r>
    <w:r>
      <w:rPr>
        <w:b/>
        <w:bCs/>
      </w:rPr>
      <w:fldChar w:fldCharType="separate"/>
    </w:r>
    <w:r w:rsidR="00FF7B98">
      <w:rPr>
        <w:b/>
        <w:bCs/>
        <w:noProof/>
      </w:rPr>
      <w:t>5</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F7B98">
      <w:rPr>
        <w:b/>
        <w:bCs/>
        <w:noProof/>
      </w:rPr>
      <w:t>5</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212" w:rsidRDefault="00A36212" w:rsidP="004A289E">
      <w:pPr>
        <w:spacing w:after="0"/>
      </w:pPr>
      <w:r>
        <w:separator/>
      </w:r>
    </w:p>
  </w:footnote>
  <w:footnote w:type="continuationSeparator" w:id="0">
    <w:p w:rsidR="00A36212" w:rsidRDefault="00A36212" w:rsidP="004A289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E7B" w:rsidRDefault="007C3E7B" w:rsidP="007C3E7B">
    <w:pPr>
      <w:pStyle w:val="Header"/>
      <w:jc w:val="right"/>
    </w:pPr>
    <w:r>
      <w:rPr>
        <w:noProof/>
      </w:rPr>
      <w:drawing>
        <wp:inline distT="0" distB="0" distL="0" distR="0" wp14:anchorId="2E3B6712" wp14:editId="37EDFA14">
          <wp:extent cx="2457450" cy="381592"/>
          <wp:effectExtent l="0" t="0" r="0" b="0"/>
          <wp:docPr id="4" name="Picture 4" descr="http://storbeckpimentel.com/resources/uploads/institution/iu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beckpimentel.com/resources/uploads/institution/iu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909" cy="38880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C0E69"/>
    <w:multiLevelType w:val="multilevel"/>
    <w:tmpl w:val="BB203188"/>
    <w:lvl w:ilvl="0">
      <w:start w:val="1"/>
      <w:numFmt w:val="decimal"/>
      <w:lvlText w:val="%1."/>
      <w:lvlJc w:val="left"/>
      <w:pPr>
        <w:tabs>
          <w:tab w:val="num" w:pos="465"/>
        </w:tabs>
        <w:ind w:left="465" w:hanging="360"/>
      </w:pPr>
      <w:rPr>
        <w:rFonts w:hint="default"/>
      </w:rPr>
    </w:lvl>
    <w:lvl w:ilvl="1">
      <w:start w:val="1"/>
      <w:numFmt w:val="lowerLetter"/>
      <w:lvlText w:val="%2)"/>
      <w:lvlJc w:val="left"/>
      <w:pPr>
        <w:tabs>
          <w:tab w:val="num" w:pos="1185"/>
        </w:tabs>
        <w:ind w:left="1185" w:hanging="360"/>
      </w:pPr>
      <w:rPr>
        <w:rFonts w:hint="default"/>
      </w:rPr>
    </w:lvl>
    <w:lvl w:ilvl="2">
      <w:start w:val="1"/>
      <w:numFmt w:val="lowerLetter"/>
      <w:lvlText w:val="%3)"/>
      <w:lvlJc w:val="left"/>
      <w:pPr>
        <w:tabs>
          <w:tab w:val="num" w:pos="2085"/>
        </w:tabs>
        <w:ind w:left="2085" w:hanging="360"/>
      </w:pPr>
    </w:lvl>
    <w:lvl w:ilvl="3">
      <w:start w:val="35"/>
      <w:numFmt w:val="decimal"/>
      <w:lvlText w:val="%4"/>
      <w:lvlJc w:val="left"/>
      <w:pPr>
        <w:tabs>
          <w:tab w:val="num" w:pos="2625"/>
        </w:tabs>
        <w:ind w:left="2625" w:hanging="360"/>
      </w:pPr>
      <w:rPr>
        <w:rFonts w:hint="default"/>
      </w:rPr>
    </w:lvl>
    <w:lvl w:ilvl="4">
      <w:start w:val="7"/>
      <w:numFmt w:val="lowerLetter"/>
      <w:lvlText w:val="%5."/>
      <w:lvlJc w:val="left"/>
      <w:pPr>
        <w:tabs>
          <w:tab w:val="num" w:pos="3345"/>
        </w:tabs>
        <w:ind w:left="3345" w:hanging="360"/>
      </w:pPr>
      <w:rPr>
        <w:rFonts w:hint="default"/>
      </w:rPr>
    </w:lvl>
    <w:lvl w:ilvl="5" w:tentative="1">
      <w:start w:val="1"/>
      <w:numFmt w:val="lowerRoman"/>
      <w:lvlText w:val="%6."/>
      <w:lvlJc w:val="right"/>
      <w:pPr>
        <w:tabs>
          <w:tab w:val="num" w:pos="4065"/>
        </w:tabs>
        <w:ind w:left="4065" w:hanging="180"/>
      </w:pPr>
    </w:lvl>
    <w:lvl w:ilvl="6" w:tentative="1">
      <w:start w:val="1"/>
      <w:numFmt w:val="decimal"/>
      <w:lvlText w:val="%7."/>
      <w:lvlJc w:val="left"/>
      <w:pPr>
        <w:tabs>
          <w:tab w:val="num" w:pos="4785"/>
        </w:tabs>
        <w:ind w:left="4785" w:hanging="360"/>
      </w:pPr>
    </w:lvl>
    <w:lvl w:ilvl="7" w:tentative="1">
      <w:start w:val="1"/>
      <w:numFmt w:val="lowerLetter"/>
      <w:lvlText w:val="%8."/>
      <w:lvlJc w:val="left"/>
      <w:pPr>
        <w:tabs>
          <w:tab w:val="num" w:pos="5505"/>
        </w:tabs>
        <w:ind w:left="5505" w:hanging="360"/>
      </w:pPr>
    </w:lvl>
    <w:lvl w:ilvl="8" w:tentative="1">
      <w:start w:val="1"/>
      <w:numFmt w:val="lowerRoman"/>
      <w:lvlText w:val="%9."/>
      <w:lvlJc w:val="right"/>
      <w:pPr>
        <w:tabs>
          <w:tab w:val="num" w:pos="6225"/>
        </w:tabs>
        <w:ind w:left="6225" w:hanging="180"/>
      </w:pPr>
    </w:lvl>
  </w:abstractNum>
  <w:abstractNum w:abstractNumId="1">
    <w:nsid w:val="09825E6C"/>
    <w:multiLevelType w:val="hybridMultilevel"/>
    <w:tmpl w:val="EBFCD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70515C"/>
    <w:multiLevelType w:val="hybridMultilevel"/>
    <w:tmpl w:val="2660A142"/>
    <w:lvl w:ilvl="0" w:tplc="8AB499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6131BD"/>
    <w:multiLevelType w:val="hybridMultilevel"/>
    <w:tmpl w:val="B09A86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ABF577C"/>
    <w:multiLevelType w:val="singleLevel"/>
    <w:tmpl w:val="04090017"/>
    <w:lvl w:ilvl="0">
      <w:start w:val="1"/>
      <w:numFmt w:val="lowerLetter"/>
      <w:lvlText w:val="%1)"/>
      <w:lvlJc w:val="left"/>
      <w:pPr>
        <w:tabs>
          <w:tab w:val="num" w:pos="360"/>
        </w:tabs>
        <w:ind w:left="360" w:hanging="360"/>
      </w:pPr>
    </w:lvl>
  </w:abstractNum>
  <w:abstractNum w:abstractNumId="5">
    <w:nsid w:val="263A30A7"/>
    <w:multiLevelType w:val="hybridMultilevel"/>
    <w:tmpl w:val="D110EC56"/>
    <w:lvl w:ilvl="0" w:tplc="1354BA2E">
      <w:start w:val="1"/>
      <w:numFmt w:val="decimal"/>
      <w:lvlText w:val="%1."/>
      <w:lvlJc w:val="left"/>
      <w:pPr>
        <w:ind w:left="360" w:hanging="360"/>
      </w:pPr>
      <w:rPr>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C951741"/>
    <w:multiLevelType w:val="singleLevel"/>
    <w:tmpl w:val="04090017"/>
    <w:lvl w:ilvl="0">
      <w:start w:val="1"/>
      <w:numFmt w:val="lowerLetter"/>
      <w:lvlText w:val="%1)"/>
      <w:lvlJc w:val="left"/>
      <w:pPr>
        <w:tabs>
          <w:tab w:val="num" w:pos="360"/>
        </w:tabs>
        <w:ind w:left="360" w:hanging="360"/>
      </w:pPr>
    </w:lvl>
  </w:abstractNum>
  <w:abstractNum w:abstractNumId="7">
    <w:nsid w:val="303B7A48"/>
    <w:multiLevelType w:val="hybridMultilevel"/>
    <w:tmpl w:val="4AC6F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4A78CA"/>
    <w:multiLevelType w:val="singleLevel"/>
    <w:tmpl w:val="04090017"/>
    <w:lvl w:ilvl="0">
      <w:start w:val="1"/>
      <w:numFmt w:val="lowerLetter"/>
      <w:lvlText w:val="%1)"/>
      <w:lvlJc w:val="left"/>
      <w:pPr>
        <w:tabs>
          <w:tab w:val="num" w:pos="360"/>
        </w:tabs>
        <w:ind w:left="360" w:hanging="360"/>
      </w:pPr>
    </w:lvl>
  </w:abstractNum>
  <w:abstractNum w:abstractNumId="9">
    <w:nsid w:val="42F7386D"/>
    <w:multiLevelType w:val="singleLevel"/>
    <w:tmpl w:val="04090017"/>
    <w:lvl w:ilvl="0">
      <w:start w:val="1"/>
      <w:numFmt w:val="lowerLetter"/>
      <w:lvlText w:val="%1)"/>
      <w:lvlJc w:val="left"/>
      <w:pPr>
        <w:tabs>
          <w:tab w:val="num" w:pos="360"/>
        </w:tabs>
        <w:ind w:left="360" w:hanging="360"/>
      </w:pPr>
    </w:lvl>
  </w:abstractNum>
  <w:abstractNum w:abstractNumId="10">
    <w:nsid w:val="50F32FF6"/>
    <w:multiLevelType w:val="hybridMultilevel"/>
    <w:tmpl w:val="9BDAA612"/>
    <w:lvl w:ilvl="0" w:tplc="0AD278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68D1932"/>
    <w:multiLevelType w:val="hybridMultilevel"/>
    <w:tmpl w:val="83085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4C5964"/>
    <w:multiLevelType w:val="singleLevel"/>
    <w:tmpl w:val="04090017"/>
    <w:lvl w:ilvl="0">
      <w:start w:val="1"/>
      <w:numFmt w:val="lowerLetter"/>
      <w:lvlText w:val="%1)"/>
      <w:lvlJc w:val="left"/>
      <w:pPr>
        <w:tabs>
          <w:tab w:val="num" w:pos="360"/>
        </w:tabs>
        <w:ind w:left="360" w:hanging="360"/>
      </w:pPr>
    </w:lvl>
  </w:abstractNum>
  <w:abstractNum w:abstractNumId="13">
    <w:nsid w:val="58FD2330"/>
    <w:multiLevelType w:val="hybridMultilevel"/>
    <w:tmpl w:val="563004BA"/>
    <w:lvl w:ilvl="0" w:tplc="4580950C">
      <w:start w:val="1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B1B58D4"/>
    <w:multiLevelType w:val="hybridMultilevel"/>
    <w:tmpl w:val="C5C6E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64659D"/>
    <w:multiLevelType w:val="hybridMultilevel"/>
    <w:tmpl w:val="839C6EFE"/>
    <w:lvl w:ilvl="0" w:tplc="12A814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7087760"/>
    <w:multiLevelType w:val="hybridMultilevel"/>
    <w:tmpl w:val="0562E5DE"/>
    <w:lvl w:ilvl="0" w:tplc="4580950C">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nsid w:val="6F6F31E3"/>
    <w:multiLevelType w:val="hybridMultilevel"/>
    <w:tmpl w:val="D570E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C75D8F"/>
    <w:multiLevelType w:val="hybridMultilevel"/>
    <w:tmpl w:val="093ED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775A26"/>
    <w:multiLevelType w:val="hybridMultilevel"/>
    <w:tmpl w:val="D5440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237FF1"/>
    <w:multiLevelType w:val="hybridMultilevel"/>
    <w:tmpl w:val="AEC8A956"/>
    <w:lvl w:ilvl="0" w:tplc="4EDCBD0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7B8315D"/>
    <w:multiLevelType w:val="singleLevel"/>
    <w:tmpl w:val="04090017"/>
    <w:lvl w:ilvl="0">
      <w:start w:val="1"/>
      <w:numFmt w:val="lowerLetter"/>
      <w:lvlText w:val="%1)"/>
      <w:lvlJc w:val="left"/>
      <w:pPr>
        <w:tabs>
          <w:tab w:val="num" w:pos="720"/>
        </w:tabs>
        <w:ind w:left="720" w:hanging="360"/>
      </w:pPr>
    </w:lvl>
  </w:abstractNum>
  <w:abstractNum w:abstractNumId="22">
    <w:nsid w:val="78214FF0"/>
    <w:multiLevelType w:val="singleLevel"/>
    <w:tmpl w:val="04090017"/>
    <w:lvl w:ilvl="0">
      <w:start w:val="1"/>
      <w:numFmt w:val="lowerLetter"/>
      <w:lvlText w:val="%1)"/>
      <w:lvlJc w:val="left"/>
      <w:pPr>
        <w:tabs>
          <w:tab w:val="num" w:pos="360"/>
        </w:tabs>
        <w:ind w:left="360" w:hanging="360"/>
      </w:pPr>
    </w:lvl>
  </w:abstractNum>
  <w:abstractNum w:abstractNumId="23">
    <w:nsid w:val="78580BE3"/>
    <w:multiLevelType w:val="singleLevel"/>
    <w:tmpl w:val="04090017"/>
    <w:lvl w:ilvl="0">
      <w:start w:val="1"/>
      <w:numFmt w:val="lowerLetter"/>
      <w:lvlText w:val="%1)"/>
      <w:lvlJc w:val="left"/>
      <w:pPr>
        <w:tabs>
          <w:tab w:val="num" w:pos="360"/>
        </w:tabs>
        <w:ind w:left="360" w:hanging="360"/>
      </w:pPr>
    </w:lvl>
  </w:abstractNum>
  <w:num w:numId="1">
    <w:abstractNumId w:val="9"/>
  </w:num>
  <w:num w:numId="2">
    <w:abstractNumId w:val="11"/>
  </w:num>
  <w:num w:numId="3">
    <w:abstractNumId w:val="5"/>
  </w:num>
  <w:num w:numId="4">
    <w:abstractNumId w:val="6"/>
  </w:num>
  <w:num w:numId="5">
    <w:abstractNumId w:val="12"/>
  </w:num>
  <w:num w:numId="6">
    <w:abstractNumId w:val="3"/>
  </w:num>
  <w:num w:numId="7">
    <w:abstractNumId w:val="8"/>
  </w:num>
  <w:num w:numId="8">
    <w:abstractNumId w:val="10"/>
  </w:num>
  <w:num w:numId="9">
    <w:abstractNumId w:val="23"/>
  </w:num>
  <w:num w:numId="10">
    <w:abstractNumId w:val="4"/>
  </w:num>
  <w:num w:numId="11">
    <w:abstractNumId w:val="22"/>
  </w:num>
  <w:num w:numId="12">
    <w:abstractNumId w:val="15"/>
  </w:num>
  <w:num w:numId="13">
    <w:abstractNumId w:val="0"/>
  </w:num>
  <w:num w:numId="14">
    <w:abstractNumId w:val="13"/>
  </w:num>
  <w:num w:numId="15">
    <w:abstractNumId w:val="21"/>
  </w:num>
  <w:num w:numId="16">
    <w:abstractNumId w:val="16"/>
  </w:num>
  <w:num w:numId="17">
    <w:abstractNumId w:val="2"/>
  </w:num>
  <w:num w:numId="18">
    <w:abstractNumId w:val="17"/>
  </w:num>
  <w:num w:numId="19">
    <w:abstractNumId w:val="20"/>
  </w:num>
  <w:num w:numId="20">
    <w:abstractNumId w:val="14"/>
  </w:num>
  <w:num w:numId="21">
    <w:abstractNumId w:val="19"/>
  </w:num>
  <w:num w:numId="22">
    <w:abstractNumId w:val="18"/>
  </w:num>
  <w:num w:numId="23">
    <w:abstractNumId w:val="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89E"/>
    <w:rsid w:val="00045465"/>
    <w:rsid w:val="000621C2"/>
    <w:rsid w:val="000A08B8"/>
    <w:rsid w:val="000C651F"/>
    <w:rsid w:val="001263FF"/>
    <w:rsid w:val="001572F0"/>
    <w:rsid w:val="001745A1"/>
    <w:rsid w:val="0018121B"/>
    <w:rsid w:val="001E5134"/>
    <w:rsid w:val="002128B0"/>
    <w:rsid w:val="00224D2F"/>
    <w:rsid w:val="00260C62"/>
    <w:rsid w:val="002B6F1C"/>
    <w:rsid w:val="002F5C5F"/>
    <w:rsid w:val="00323A75"/>
    <w:rsid w:val="00343FF0"/>
    <w:rsid w:val="003B63DA"/>
    <w:rsid w:val="003D57FF"/>
    <w:rsid w:val="003F2DC6"/>
    <w:rsid w:val="0045720B"/>
    <w:rsid w:val="004648A5"/>
    <w:rsid w:val="0046774F"/>
    <w:rsid w:val="0047674C"/>
    <w:rsid w:val="0048167B"/>
    <w:rsid w:val="00487695"/>
    <w:rsid w:val="004A289E"/>
    <w:rsid w:val="004B69C7"/>
    <w:rsid w:val="004F292E"/>
    <w:rsid w:val="00524CC1"/>
    <w:rsid w:val="0053130B"/>
    <w:rsid w:val="005768FF"/>
    <w:rsid w:val="005B772B"/>
    <w:rsid w:val="005D21D2"/>
    <w:rsid w:val="005E17CA"/>
    <w:rsid w:val="00612D7E"/>
    <w:rsid w:val="00645620"/>
    <w:rsid w:val="00670345"/>
    <w:rsid w:val="00685B62"/>
    <w:rsid w:val="006A0F3B"/>
    <w:rsid w:val="006D1B26"/>
    <w:rsid w:val="00700DB2"/>
    <w:rsid w:val="007649E3"/>
    <w:rsid w:val="007C0B7D"/>
    <w:rsid w:val="007C17D6"/>
    <w:rsid w:val="007C3E7B"/>
    <w:rsid w:val="008D5A3C"/>
    <w:rsid w:val="009902B3"/>
    <w:rsid w:val="00995020"/>
    <w:rsid w:val="009E436D"/>
    <w:rsid w:val="00A272CA"/>
    <w:rsid w:val="00A36212"/>
    <w:rsid w:val="00A66B1C"/>
    <w:rsid w:val="00AD5F41"/>
    <w:rsid w:val="00B35377"/>
    <w:rsid w:val="00B44A05"/>
    <w:rsid w:val="00B5264E"/>
    <w:rsid w:val="00B92594"/>
    <w:rsid w:val="00BC3584"/>
    <w:rsid w:val="00BD7730"/>
    <w:rsid w:val="00BE7A0D"/>
    <w:rsid w:val="00C17B03"/>
    <w:rsid w:val="00C55667"/>
    <w:rsid w:val="00C73746"/>
    <w:rsid w:val="00C74B06"/>
    <w:rsid w:val="00CE6D03"/>
    <w:rsid w:val="00CF7242"/>
    <w:rsid w:val="00D2420A"/>
    <w:rsid w:val="00D26F11"/>
    <w:rsid w:val="00D4269D"/>
    <w:rsid w:val="00D57424"/>
    <w:rsid w:val="00D76CB5"/>
    <w:rsid w:val="00D965D4"/>
    <w:rsid w:val="00D96D80"/>
    <w:rsid w:val="00DB04A9"/>
    <w:rsid w:val="00DB1E1A"/>
    <w:rsid w:val="00DF6972"/>
    <w:rsid w:val="00E10F7C"/>
    <w:rsid w:val="00E226C9"/>
    <w:rsid w:val="00E77CB4"/>
    <w:rsid w:val="00E84E7F"/>
    <w:rsid w:val="00EB578A"/>
    <w:rsid w:val="00EC77C2"/>
    <w:rsid w:val="00EE1674"/>
    <w:rsid w:val="00F42E18"/>
    <w:rsid w:val="00F632A2"/>
    <w:rsid w:val="00FA604D"/>
    <w:rsid w:val="00FF7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21B"/>
    <w:pPr>
      <w:spacing w:after="160" w:line="240" w:lineRule="auto"/>
    </w:pPr>
    <w:rPr>
      <w:rFonts w:ascii="Palatino Linotype" w:hAnsi="Palatino Linotype"/>
      <w:sz w:val="20"/>
    </w:rPr>
  </w:style>
  <w:style w:type="paragraph" w:styleId="Heading1">
    <w:name w:val="heading 1"/>
    <w:basedOn w:val="Normal"/>
    <w:next w:val="Normal"/>
    <w:link w:val="Heading1Char"/>
    <w:uiPriority w:val="9"/>
    <w:qFormat/>
    <w:rsid w:val="0018121B"/>
    <w:pPr>
      <w:keepNext/>
      <w:keepLines/>
      <w:pBdr>
        <w:bottom w:val="single" w:sz="12" w:space="1" w:color="auto"/>
      </w:pBdr>
      <w:spacing w:after="240"/>
      <w:outlineLvl w:val="0"/>
    </w:pPr>
    <w:rPr>
      <w:rFonts w:eastAsiaTheme="majorEastAsia" w:cstheme="majorBidi"/>
      <w:b/>
      <w:caps/>
      <w:spacing w:val="30"/>
      <w:sz w:val="32"/>
      <w:szCs w:val="32"/>
    </w:rPr>
  </w:style>
  <w:style w:type="paragraph" w:styleId="Heading2">
    <w:name w:val="heading 2"/>
    <w:basedOn w:val="Normal"/>
    <w:next w:val="Normal"/>
    <w:link w:val="Heading2Char"/>
    <w:uiPriority w:val="9"/>
    <w:unhideWhenUsed/>
    <w:qFormat/>
    <w:rsid w:val="00D4269D"/>
    <w:pPr>
      <w:keepNext/>
      <w:keepLines/>
      <w:pBdr>
        <w:bottom w:val="dotted" w:sz="4" w:space="1" w:color="auto"/>
      </w:pBdr>
      <w:spacing w:before="40" w:after="240"/>
      <w:outlineLvl w:val="1"/>
    </w:pPr>
    <w:rPr>
      <w:rFonts w:eastAsiaTheme="majorEastAsia" w:cstheme="majorBidi"/>
      <w:b/>
      <w:smallCaps/>
      <w:spacing w:val="2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1B"/>
    <w:rPr>
      <w:rFonts w:ascii="Palatino Linotype" w:eastAsiaTheme="majorEastAsia" w:hAnsi="Palatino Linotype" w:cstheme="majorBidi"/>
      <w:b/>
      <w:caps/>
      <w:spacing w:val="30"/>
      <w:sz w:val="32"/>
      <w:szCs w:val="32"/>
    </w:rPr>
  </w:style>
  <w:style w:type="paragraph" w:styleId="NoSpacing">
    <w:name w:val="No Spacing"/>
    <w:uiPriority w:val="1"/>
    <w:qFormat/>
    <w:rsid w:val="0018121B"/>
    <w:pPr>
      <w:spacing w:after="0" w:line="240" w:lineRule="auto"/>
    </w:pPr>
    <w:rPr>
      <w:rFonts w:ascii="Palatino Linotype" w:hAnsi="Palatino Linotype"/>
      <w:sz w:val="20"/>
    </w:rPr>
  </w:style>
  <w:style w:type="character" w:customStyle="1" w:styleId="Heading2Char">
    <w:name w:val="Heading 2 Char"/>
    <w:basedOn w:val="DefaultParagraphFont"/>
    <w:link w:val="Heading2"/>
    <w:uiPriority w:val="9"/>
    <w:rsid w:val="00D4269D"/>
    <w:rPr>
      <w:rFonts w:ascii="Palatino Linotype" w:eastAsiaTheme="majorEastAsia" w:hAnsi="Palatino Linotype" w:cstheme="majorBidi"/>
      <w:b/>
      <w:smallCaps/>
      <w:spacing w:val="20"/>
      <w:sz w:val="28"/>
      <w:szCs w:val="26"/>
    </w:rPr>
  </w:style>
  <w:style w:type="paragraph" w:styleId="BalloonText">
    <w:name w:val="Balloon Text"/>
    <w:basedOn w:val="Normal"/>
    <w:link w:val="BalloonTextChar"/>
    <w:uiPriority w:val="99"/>
    <w:semiHidden/>
    <w:unhideWhenUsed/>
    <w:rsid w:val="004A28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9E"/>
    <w:rPr>
      <w:rFonts w:ascii="Segoe UI" w:hAnsi="Segoe UI" w:cs="Segoe UI"/>
      <w:sz w:val="18"/>
      <w:szCs w:val="18"/>
    </w:rPr>
  </w:style>
  <w:style w:type="paragraph" w:styleId="Header">
    <w:name w:val="header"/>
    <w:basedOn w:val="Normal"/>
    <w:link w:val="HeaderChar"/>
    <w:uiPriority w:val="99"/>
    <w:unhideWhenUsed/>
    <w:rsid w:val="004A289E"/>
    <w:pPr>
      <w:tabs>
        <w:tab w:val="center" w:pos="4680"/>
        <w:tab w:val="right" w:pos="9360"/>
      </w:tabs>
      <w:spacing w:after="0"/>
    </w:pPr>
  </w:style>
  <w:style w:type="character" w:customStyle="1" w:styleId="HeaderChar">
    <w:name w:val="Header Char"/>
    <w:basedOn w:val="DefaultParagraphFont"/>
    <w:link w:val="Header"/>
    <w:uiPriority w:val="99"/>
    <w:rsid w:val="004A289E"/>
    <w:rPr>
      <w:rFonts w:ascii="Palatino Linotype" w:hAnsi="Palatino Linotype"/>
      <w:sz w:val="20"/>
    </w:rPr>
  </w:style>
  <w:style w:type="paragraph" w:styleId="Footer">
    <w:name w:val="footer"/>
    <w:basedOn w:val="Normal"/>
    <w:link w:val="FooterChar"/>
    <w:uiPriority w:val="99"/>
    <w:unhideWhenUsed/>
    <w:rsid w:val="004A289E"/>
    <w:pPr>
      <w:tabs>
        <w:tab w:val="center" w:pos="4680"/>
        <w:tab w:val="right" w:pos="9360"/>
      </w:tabs>
      <w:spacing w:after="0"/>
    </w:pPr>
  </w:style>
  <w:style w:type="character" w:customStyle="1" w:styleId="FooterChar">
    <w:name w:val="Footer Char"/>
    <w:basedOn w:val="DefaultParagraphFont"/>
    <w:link w:val="Footer"/>
    <w:uiPriority w:val="99"/>
    <w:rsid w:val="004A289E"/>
    <w:rPr>
      <w:rFonts w:ascii="Palatino Linotype" w:hAnsi="Palatino Linotype"/>
      <w:sz w:val="20"/>
    </w:rPr>
  </w:style>
  <w:style w:type="table" w:styleId="TableGrid">
    <w:name w:val="Table Grid"/>
    <w:basedOn w:val="TableNormal"/>
    <w:uiPriority w:val="59"/>
    <w:rsid w:val="004A2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9259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21B"/>
    <w:pPr>
      <w:spacing w:after="160" w:line="240" w:lineRule="auto"/>
    </w:pPr>
    <w:rPr>
      <w:rFonts w:ascii="Palatino Linotype" w:hAnsi="Palatino Linotype"/>
      <w:sz w:val="20"/>
    </w:rPr>
  </w:style>
  <w:style w:type="paragraph" w:styleId="Heading1">
    <w:name w:val="heading 1"/>
    <w:basedOn w:val="Normal"/>
    <w:next w:val="Normal"/>
    <w:link w:val="Heading1Char"/>
    <w:uiPriority w:val="9"/>
    <w:qFormat/>
    <w:rsid w:val="0018121B"/>
    <w:pPr>
      <w:keepNext/>
      <w:keepLines/>
      <w:pBdr>
        <w:bottom w:val="single" w:sz="12" w:space="1" w:color="auto"/>
      </w:pBdr>
      <w:spacing w:after="240"/>
      <w:outlineLvl w:val="0"/>
    </w:pPr>
    <w:rPr>
      <w:rFonts w:eastAsiaTheme="majorEastAsia" w:cstheme="majorBidi"/>
      <w:b/>
      <w:caps/>
      <w:spacing w:val="30"/>
      <w:sz w:val="32"/>
      <w:szCs w:val="32"/>
    </w:rPr>
  </w:style>
  <w:style w:type="paragraph" w:styleId="Heading2">
    <w:name w:val="heading 2"/>
    <w:basedOn w:val="Normal"/>
    <w:next w:val="Normal"/>
    <w:link w:val="Heading2Char"/>
    <w:uiPriority w:val="9"/>
    <w:unhideWhenUsed/>
    <w:qFormat/>
    <w:rsid w:val="00D4269D"/>
    <w:pPr>
      <w:keepNext/>
      <w:keepLines/>
      <w:pBdr>
        <w:bottom w:val="dotted" w:sz="4" w:space="1" w:color="auto"/>
      </w:pBdr>
      <w:spacing w:before="40" w:after="240"/>
      <w:outlineLvl w:val="1"/>
    </w:pPr>
    <w:rPr>
      <w:rFonts w:eastAsiaTheme="majorEastAsia" w:cstheme="majorBidi"/>
      <w:b/>
      <w:smallCaps/>
      <w:spacing w:val="2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1B"/>
    <w:rPr>
      <w:rFonts w:ascii="Palatino Linotype" w:eastAsiaTheme="majorEastAsia" w:hAnsi="Palatino Linotype" w:cstheme="majorBidi"/>
      <w:b/>
      <w:caps/>
      <w:spacing w:val="30"/>
      <w:sz w:val="32"/>
      <w:szCs w:val="32"/>
    </w:rPr>
  </w:style>
  <w:style w:type="paragraph" w:styleId="NoSpacing">
    <w:name w:val="No Spacing"/>
    <w:uiPriority w:val="1"/>
    <w:qFormat/>
    <w:rsid w:val="0018121B"/>
    <w:pPr>
      <w:spacing w:after="0" w:line="240" w:lineRule="auto"/>
    </w:pPr>
    <w:rPr>
      <w:rFonts w:ascii="Palatino Linotype" w:hAnsi="Palatino Linotype"/>
      <w:sz w:val="20"/>
    </w:rPr>
  </w:style>
  <w:style w:type="character" w:customStyle="1" w:styleId="Heading2Char">
    <w:name w:val="Heading 2 Char"/>
    <w:basedOn w:val="DefaultParagraphFont"/>
    <w:link w:val="Heading2"/>
    <w:uiPriority w:val="9"/>
    <w:rsid w:val="00D4269D"/>
    <w:rPr>
      <w:rFonts w:ascii="Palatino Linotype" w:eastAsiaTheme="majorEastAsia" w:hAnsi="Palatino Linotype" w:cstheme="majorBidi"/>
      <w:b/>
      <w:smallCaps/>
      <w:spacing w:val="20"/>
      <w:sz w:val="28"/>
      <w:szCs w:val="26"/>
    </w:rPr>
  </w:style>
  <w:style w:type="paragraph" w:styleId="BalloonText">
    <w:name w:val="Balloon Text"/>
    <w:basedOn w:val="Normal"/>
    <w:link w:val="BalloonTextChar"/>
    <w:uiPriority w:val="99"/>
    <w:semiHidden/>
    <w:unhideWhenUsed/>
    <w:rsid w:val="004A28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9E"/>
    <w:rPr>
      <w:rFonts w:ascii="Segoe UI" w:hAnsi="Segoe UI" w:cs="Segoe UI"/>
      <w:sz w:val="18"/>
      <w:szCs w:val="18"/>
    </w:rPr>
  </w:style>
  <w:style w:type="paragraph" w:styleId="Header">
    <w:name w:val="header"/>
    <w:basedOn w:val="Normal"/>
    <w:link w:val="HeaderChar"/>
    <w:uiPriority w:val="99"/>
    <w:unhideWhenUsed/>
    <w:rsid w:val="004A289E"/>
    <w:pPr>
      <w:tabs>
        <w:tab w:val="center" w:pos="4680"/>
        <w:tab w:val="right" w:pos="9360"/>
      </w:tabs>
      <w:spacing w:after="0"/>
    </w:pPr>
  </w:style>
  <w:style w:type="character" w:customStyle="1" w:styleId="HeaderChar">
    <w:name w:val="Header Char"/>
    <w:basedOn w:val="DefaultParagraphFont"/>
    <w:link w:val="Header"/>
    <w:uiPriority w:val="99"/>
    <w:rsid w:val="004A289E"/>
    <w:rPr>
      <w:rFonts w:ascii="Palatino Linotype" w:hAnsi="Palatino Linotype"/>
      <w:sz w:val="20"/>
    </w:rPr>
  </w:style>
  <w:style w:type="paragraph" w:styleId="Footer">
    <w:name w:val="footer"/>
    <w:basedOn w:val="Normal"/>
    <w:link w:val="FooterChar"/>
    <w:uiPriority w:val="99"/>
    <w:unhideWhenUsed/>
    <w:rsid w:val="004A289E"/>
    <w:pPr>
      <w:tabs>
        <w:tab w:val="center" w:pos="4680"/>
        <w:tab w:val="right" w:pos="9360"/>
      </w:tabs>
      <w:spacing w:after="0"/>
    </w:pPr>
  </w:style>
  <w:style w:type="character" w:customStyle="1" w:styleId="FooterChar">
    <w:name w:val="Footer Char"/>
    <w:basedOn w:val="DefaultParagraphFont"/>
    <w:link w:val="Footer"/>
    <w:uiPriority w:val="99"/>
    <w:rsid w:val="004A289E"/>
    <w:rPr>
      <w:rFonts w:ascii="Palatino Linotype" w:hAnsi="Palatino Linotype"/>
      <w:sz w:val="20"/>
    </w:rPr>
  </w:style>
  <w:style w:type="table" w:styleId="TableGrid">
    <w:name w:val="Table Grid"/>
    <w:basedOn w:val="TableNormal"/>
    <w:uiPriority w:val="59"/>
    <w:rsid w:val="004A2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92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449030">
      <w:bodyDiv w:val="1"/>
      <w:marLeft w:val="0"/>
      <w:marRight w:val="0"/>
      <w:marTop w:val="0"/>
      <w:marBottom w:val="0"/>
      <w:divBdr>
        <w:top w:val="none" w:sz="0" w:space="0" w:color="auto"/>
        <w:left w:val="none" w:sz="0" w:space="0" w:color="auto"/>
        <w:bottom w:val="none" w:sz="0" w:space="0" w:color="auto"/>
        <w:right w:val="none" w:sz="0" w:space="0" w:color="auto"/>
      </w:divBdr>
    </w:div>
    <w:div w:id="132173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Beacon Health System</Company>
  <LinksUpToDate>false</LinksUpToDate>
  <CharactersWithSpaces>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Parker</dc:creator>
  <cp:lastModifiedBy>d</cp:lastModifiedBy>
  <cp:revision>2</cp:revision>
  <cp:lastPrinted>2015-09-16T13:04:00Z</cp:lastPrinted>
  <dcterms:created xsi:type="dcterms:W3CDTF">2018-05-27T09:49:00Z</dcterms:created>
  <dcterms:modified xsi:type="dcterms:W3CDTF">2018-05-27T09:49:00Z</dcterms:modified>
</cp:coreProperties>
</file>